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0DEFC" w14:textId="77777777" w:rsidR="00A21630" w:rsidRDefault="0075692A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康复医</w:t>
      </w:r>
      <w:r>
        <w:rPr>
          <w:rFonts w:asciiTheme="minorEastAsia" w:hAnsiTheme="minorEastAsia" w:hint="eastAsia"/>
          <w:sz w:val="32"/>
          <w:szCs w:val="32"/>
        </w:rPr>
        <w:t>学科</w:t>
      </w:r>
    </w:p>
    <w:p w14:paraId="409D2623" w14:textId="6E019080" w:rsidR="0075692A" w:rsidRDefault="0075692A" w:rsidP="0075692A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hint="eastAsia"/>
          <w:sz w:val="32"/>
          <w:szCs w:val="32"/>
        </w:rPr>
        <w:t>聚焦式冲击波</w:t>
      </w:r>
      <w:r>
        <w:rPr>
          <w:rFonts w:asciiTheme="minorEastAsia" w:hAnsiTheme="minorEastAsia" w:hint="eastAsia"/>
          <w:sz w:val="32"/>
          <w:szCs w:val="32"/>
        </w:rPr>
        <w:t>设备重点关注</w:t>
      </w:r>
    </w:p>
    <w:p w14:paraId="6CB41427" w14:textId="71CFC8B6" w:rsidR="00A21630" w:rsidRDefault="00A21630">
      <w:pPr>
        <w:rPr>
          <w:rFonts w:asciiTheme="minorEastAsia" w:hAnsiTheme="minorEastAsia"/>
          <w:sz w:val="28"/>
          <w:szCs w:val="28"/>
        </w:rPr>
      </w:pPr>
    </w:p>
    <w:p w14:paraId="3A77F5FE" w14:textId="77777777" w:rsidR="00A21630" w:rsidRDefault="0075692A">
      <w:pPr>
        <w:pStyle w:val="a3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一、设备最高限价</w:t>
      </w:r>
      <w:r>
        <w:rPr>
          <w:rFonts w:asciiTheme="minorEastAsia" w:hAnsiTheme="minorEastAsia" w:cstheme="minorEastAsia" w:hint="eastAsia"/>
          <w:sz w:val="24"/>
        </w:rPr>
        <w:t>14</w:t>
      </w:r>
      <w:r>
        <w:rPr>
          <w:rFonts w:asciiTheme="minorEastAsia" w:hAnsiTheme="minorEastAsia" w:cstheme="minorEastAsia" w:hint="eastAsia"/>
          <w:sz w:val="24"/>
        </w:rPr>
        <w:t>万元</w:t>
      </w:r>
    </w:p>
    <w:p w14:paraId="1EF784B2" w14:textId="4D116441" w:rsidR="00A21630" w:rsidRDefault="0075692A">
      <w:pPr>
        <w:pStyle w:val="a4"/>
        <w:spacing w:line="360" w:lineRule="auto"/>
        <w:ind w:left="0"/>
        <w:rPr>
          <w:rFonts w:asciiTheme="minorEastAsia" w:hAnsiTheme="minorEastAsia" w:cstheme="minorEastAsia"/>
          <w:sz w:val="24"/>
          <w:lang w:eastAsia="zh-CN"/>
        </w:rPr>
      </w:pPr>
      <w:r>
        <w:rPr>
          <w:rFonts w:asciiTheme="minorEastAsia" w:hAnsiTheme="minorEastAsia" w:cstheme="minorEastAsia" w:hint="eastAsia"/>
          <w:sz w:val="24"/>
          <w:lang w:eastAsia="zh-CN"/>
        </w:rPr>
        <w:t>二、配置要求</w:t>
      </w:r>
      <w:bookmarkStart w:id="0" w:name="_GoBack"/>
      <w:bookmarkEnd w:id="0"/>
      <w:r>
        <w:rPr>
          <w:rFonts w:asciiTheme="minorEastAsia" w:hAnsiTheme="minorEastAsia" w:cstheme="minorEastAsia" w:hint="eastAsia"/>
          <w:sz w:val="24"/>
          <w:lang w:eastAsia="zh-CN"/>
        </w:rPr>
        <w:t>：</w:t>
      </w:r>
    </w:p>
    <w:p w14:paraId="51B74B83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lang w:eastAsia="zh-CN"/>
        </w:rPr>
      </w:pPr>
      <w:r>
        <w:rPr>
          <w:rFonts w:ascii="宋体" w:eastAsia="宋体" w:hAnsi="宋体" w:hint="eastAsia"/>
          <w:sz w:val="24"/>
          <w:lang w:eastAsia="zh-CN"/>
        </w:rPr>
        <w:t>工作原理：压电式聚焦式冲击波技术</w:t>
      </w:r>
    </w:p>
    <w:p w14:paraId="51B74B85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输入电压：</w:t>
      </w:r>
      <w:r>
        <w:rPr>
          <w:rFonts w:ascii="宋体" w:eastAsia="宋体" w:hAnsi="宋体" w:hint="eastAsia"/>
          <w:sz w:val="24"/>
        </w:rPr>
        <w:t>220V AC</w:t>
      </w:r>
      <w:r>
        <w:rPr>
          <w:rFonts w:ascii="宋体" w:eastAsia="宋体" w:hAnsi="宋体" w:hint="eastAsia"/>
          <w:sz w:val="24"/>
        </w:rPr>
        <w:t>；</w:t>
      </w:r>
    </w:p>
    <w:p w14:paraId="51B74B86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lang w:eastAsia="zh-CN"/>
        </w:rPr>
      </w:pPr>
      <w:r>
        <w:rPr>
          <w:rFonts w:ascii="宋体" w:eastAsia="宋体" w:hAnsi="宋体" w:hint="eastAsia"/>
          <w:sz w:val="24"/>
          <w:lang w:eastAsia="zh-CN"/>
        </w:rPr>
        <w:t>击波频率：</w:t>
      </w:r>
      <w:r>
        <w:rPr>
          <w:rFonts w:ascii="宋体" w:eastAsia="宋体" w:hAnsi="宋体" w:hint="eastAsia"/>
          <w:sz w:val="24"/>
          <w:lang w:eastAsia="zh-CN"/>
        </w:rPr>
        <w:t>1-8Hz</w:t>
      </w:r>
      <w:r>
        <w:rPr>
          <w:rFonts w:ascii="宋体" w:eastAsia="宋体" w:hAnsi="宋体" w:hint="eastAsia"/>
          <w:sz w:val="24"/>
          <w:lang w:eastAsia="zh-CN"/>
        </w:rPr>
        <w:t>，</w:t>
      </w:r>
      <w:proofErr w:type="gramStart"/>
      <w:r>
        <w:rPr>
          <w:rFonts w:ascii="宋体" w:eastAsia="宋体" w:hAnsi="宋体" w:hint="eastAsia"/>
          <w:sz w:val="24"/>
          <w:lang w:eastAsia="zh-CN"/>
        </w:rPr>
        <w:t>步进值</w:t>
      </w:r>
      <w:proofErr w:type="gramEnd"/>
      <w:r>
        <w:rPr>
          <w:rFonts w:ascii="宋体" w:eastAsia="宋体" w:hAnsi="宋体" w:hint="eastAsia"/>
          <w:sz w:val="24"/>
          <w:lang w:eastAsia="zh-CN"/>
        </w:rPr>
        <w:t>1Hz</w:t>
      </w:r>
      <w:r>
        <w:rPr>
          <w:rFonts w:ascii="宋体" w:eastAsia="宋体" w:hAnsi="宋体" w:hint="eastAsia"/>
          <w:sz w:val="24"/>
          <w:lang w:eastAsia="zh-CN"/>
        </w:rPr>
        <w:t>；</w:t>
      </w:r>
    </w:p>
    <w:p w14:paraId="51B74B87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</w:rPr>
      </w:pPr>
      <w:proofErr w:type="spellStart"/>
      <w:r>
        <w:rPr>
          <w:rFonts w:ascii="宋体" w:eastAsia="宋体" w:hAnsi="宋体" w:hint="eastAsia"/>
          <w:sz w:val="24"/>
        </w:rPr>
        <w:t>最大能流密度</w:t>
      </w:r>
      <w:proofErr w:type="spellEnd"/>
      <w:r>
        <w:rPr>
          <w:rFonts w:ascii="宋体" w:eastAsia="宋体" w:hAnsi="宋体" w:hint="eastAsia"/>
          <w:sz w:val="24"/>
        </w:rPr>
        <w:t>：≥</w:t>
      </w:r>
      <w:r>
        <w:rPr>
          <w:rFonts w:ascii="宋体" w:eastAsia="宋体" w:hAnsi="宋体" w:hint="eastAsia"/>
          <w:sz w:val="24"/>
        </w:rPr>
        <w:t xml:space="preserve">0.484 </w:t>
      </w:r>
      <w:proofErr w:type="spellStart"/>
      <w:r>
        <w:rPr>
          <w:rFonts w:ascii="宋体" w:eastAsia="宋体" w:hAnsi="宋体" w:hint="eastAsia"/>
          <w:sz w:val="24"/>
        </w:rPr>
        <w:t>mj</w:t>
      </w:r>
      <w:proofErr w:type="spellEnd"/>
      <w:r>
        <w:rPr>
          <w:rFonts w:ascii="宋体" w:eastAsia="宋体" w:hAnsi="宋体" w:hint="eastAsia"/>
          <w:sz w:val="24"/>
        </w:rPr>
        <w:t>/mm</w:t>
      </w:r>
      <w:r>
        <w:rPr>
          <w:rFonts w:ascii="宋体" w:eastAsia="宋体" w:hAnsi="宋体" w:hint="eastAsia"/>
          <w:sz w:val="24"/>
        </w:rPr>
        <w:t>²；</w:t>
      </w:r>
    </w:p>
    <w:p w14:paraId="51B74B89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lang w:eastAsia="zh-CN"/>
        </w:rPr>
      </w:pPr>
      <w:r>
        <w:rPr>
          <w:rFonts w:ascii="宋体" w:eastAsia="宋体" w:hAnsi="宋体" w:hint="eastAsia"/>
          <w:sz w:val="24"/>
          <w:lang w:eastAsia="zh-CN"/>
        </w:rPr>
        <w:t>冲击波次数：</w:t>
      </w:r>
      <w:r>
        <w:rPr>
          <w:rFonts w:ascii="宋体" w:eastAsia="宋体" w:hAnsi="宋体" w:hint="eastAsia"/>
          <w:sz w:val="24"/>
          <w:lang w:eastAsia="zh-CN"/>
        </w:rPr>
        <w:t>100</w:t>
      </w:r>
      <w:r>
        <w:rPr>
          <w:rFonts w:ascii="宋体" w:eastAsia="宋体" w:hAnsi="宋体" w:hint="eastAsia"/>
          <w:sz w:val="24"/>
          <w:lang w:eastAsia="zh-CN"/>
        </w:rPr>
        <w:t>～</w:t>
      </w:r>
      <w:r>
        <w:rPr>
          <w:rFonts w:ascii="宋体" w:eastAsia="宋体" w:hAnsi="宋体" w:hint="eastAsia"/>
          <w:sz w:val="24"/>
          <w:lang w:eastAsia="zh-CN"/>
        </w:rPr>
        <w:t>4000</w:t>
      </w:r>
      <w:r>
        <w:rPr>
          <w:rFonts w:ascii="宋体" w:eastAsia="宋体" w:hAnsi="宋体" w:hint="eastAsia"/>
          <w:sz w:val="24"/>
          <w:lang w:eastAsia="zh-CN"/>
        </w:rPr>
        <w:t>次冲击可调；</w:t>
      </w:r>
    </w:p>
    <w:p w14:paraId="51B74B8A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冲击波强度调节：</w:t>
      </w:r>
      <w:r>
        <w:rPr>
          <w:rFonts w:ascii="宋体" w:eastAsia="宋体" w:hAnsi="宋体" w:hint="eastAsia"/>
          <w:sz w:val="24"/>
        </w:rPr>
        <w:t>29</w:t>
      </w:r>
      <w:r>
        <w:rPr>
          <w:rFonts w:ascii="宋体" w:eastAsia="宋体" w:hAnsi="宋体" w:hint="eastAsia"/>
          <w:sz w:val="24"/>
        </w:rPr>
        <w:t>档</w:t>
      </w:r>
    </w:p>
    <w:p w14:paraId="51B74B8B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lang w:eastAsia="zh-CN"/>
        </w:rPr>
      </w:pPr>
      <w:r>
        <w:rPr>
          <w:rFonts w:ascii="宋体" w:eastAsia="宋体" w:hAnsi="宋体" w:hint="eastAsia"/>
          <w:sz w:val="24"/>
          <w:lang w:eastAsia="zh-CN"/>
        </w:rPr>
        <w:t>治疗模式：三种，通用模式、自动增强模式、镇痛模式；</w:t>
      </w:r>
    </w:p>
    <w:p w14:paraId="51B74B8C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lang w:eastAsia="zh-CN"/>
        </w:rPr>
      </w:pPr>
      <w:proofErr w:type="gramStart"/>
      <w:r>
        <w:rPr>
          <w:rFonts w:ascii="宋体" w:eastAsia="宋体" w:hAnsi="宋体" w:hint="eastAsia"/>
          <w:sz w:val="24"/>
          <w:lang w:eastAsia="zh-CN"/>
        </w:rPr>
        <w:t>焦区尺寸</w:t>
      </w:r>
      <w:proofErr w:type="gramEnd"/>
      <w:r>
        <w:rPr>
          <w:rFonts w:ascii="宋体" w:eastAsia="宋体" w:hAnsi="宋体" w:hint="eastAsia"/>
          <w:sz w:val="24"/>
          <w:lang w:eastAsia="zh-CN"/>
        </w:rPr>
        <w:t>：径向≤</w:t>
      </w:r>
      <w:r>
        <w:rPr>
          <w:rFonts w:ascii="宋体" w:eastAsia="宋体" w:hAnsi="宋体" w:hint="eastAsia"/>
          <w:sz w:val="24"/>
          <w:lang w:eastAsia="zh-CN"/>
        </w:rPr>
        <w:t>5mm</w:t>
      </w:r>
      <w:r>
        <w:rPr>
          <w:rFonts w:ascii="宋体" w:eastAsia="宋体" w:hAnsi="宋体" w:hint="eastAsia"/>
          <w:sz w:val="24"/>
          <w:lang w:eastAsia="zh-CN"/>
        </w:rPr>
        <w:t>，长度≤</w:t>
      </w:r>
      <w:r>
        <w:rPr>
          <w:rFonts w:ascii="宋体" w:eastAsia="宋体" w:hAnsi="宋体" w:hint="eastAsia"/>
          <w:sz w:val="24"/>
          <w:lang w:eastAsia="zh-CN"/>
        </w:rPr>
        <w:t>20mm</w:t>
      </w:r>
      <w:r>
        <w:rPr>
          <w:rFonts w:ascii="宋体" w:eastAsia="宋体" w:hAnsi="宋体" w:hint="eastAsia"/>
          <w:sz w:val="24"/>
          <w:lang w:eastAsia="zh-CN"/>
        </w:rPr>
        <w:t>；</w:t>
      </w:r>
      <w:r>
        <w:rPr>
          <w:rFonts w:ascii="宋体" w:eastAsia="宋体" w:hAnsi="宋体" w:hint="eastAsia"/>
          <w:sz w:val="24"/>
          <w:lang w:eastAsia="zh-CN"/>
        </w:rPr>
        <w:t xml:space="preserve"> </w:t>
      </w:r>
    </w:p>
    <w:p w14:paraId="59ED82ED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lang w:eastAsia="zh-CN"/>
        </w:rPr>
      </w:pPr>
      <w:proofErr w:type="gramStart"/>
      <w:r>
        <w:rPr>
          <w:rFonts w:ascii="宋体" w:eastAsia="宋体" w:hAnsi="宋体"/>
          <w:sz w:val="24"/>
          <w:lang w:eastAsia="zh-CN"/>
        </w:rPr>
        <w:t>最大</w:t>
      </w:r>
      <w:r>
        <w:rPr>
          <w:rFonts w:ascii="宋体" w:eastAsia="宋体" w:hAnsi="宋体" w:hint="eastAsia"/>
          <w:sz w:val="24"/>
          <w:lang w:eastAsia="zh-CN"/>
        </w:rPr>
        <w:t>正</w:t>
      </w:r>
      <w:proofErr w:type="gramEnd"/>
      <w:r>
        <w:rPr>
          <w:rFonts w:ascii="宋体" w:eastAsia="宋体" w:hAnsi="宋体" w:hint="eastAsia"/>
          <w:sz w:val="24"/>
          <w:lang w:eastAsia="zh-CN"/>
        </w:rPr>
        <w:t>声压峰值：</w:t>
      </w:r>
      <w:r>
        <w:rPr>
          <w:rFonts w:eastAsia="宋体" w:hAnsi="宋体"/>
          <w:sz w:val="24"/>
          <w:lang w:eastAsia="zh-CN"/>
        </w:rPr>
        <w:t>≥</w:t>
      </w:r>
      <w:r>
        <w:rPr>
          <w:rFonts w:ascii="宋体" w:eastAsia="宋体" w:hAnsi="宋体" w:hint="eastAsia"/>
          <w:sz w:val="24"/>
          <w:lang w:eastAsia="zh-CN"/>
        </w:rPr>
        <w:t>96MPa</w:t>
      </w:r>
      <w:r>
        <w:rPr>
          <w:rFonts w:ascii="宋体" w:eastAsia="宋体" w:hAnsi="宋体" w:hint="eastAsia"/>
          <w:sz w:val="24"/>
          <w:lang w:eastAsia="zh-CN"/>
        </w:rPr>
        <w:t>；</w:t>
      </w:r>
    </w:p>
    <w:p w14:paraId="51B74B8E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lang w:eastAsia="zh-CN"/>
        </w:rPr>
      </w:pPr>
      <w:r>
        <w:rPr>
          <w:rFonts w:ascii="宋体" w:eastAsia="宋体" w:hAnsi="宋体" w:hint="eastAsia"/>
          <w:sz w:val="24"/>
          <w:lang w:eastAsia="zh-CN"/>
        </w:rPr>
        <w:t>压力脉冲宽度：小于</w:t>
      </w:r>
      <w:r>
        <w:rPr>
          <w:rFonts w:ascii="宋体" w:eastAsia="宋体" w:hAnsi="宋体" w:hint="eastAsia"/>
          <w:sz w:val="24"/>
          <w:lang w:eastAsia="zh-CN"/>
        </w:rPr>
        <w:t>1</w:t>
      </w:r>
      <w:r>
        <w:rPr>
          <w:rFonts w:ascii="宋体" w:eastAsia="宋体" w:hAnsi="宋体" w:hint="eastAsia"/>
          <w:sz w:val="24"/>
        </w:rPr>
        <w:t>μ</w:t>
      </w:r>
      <w:r>
        <w:rPr>
          <w:rFonts w:ascii="宋体" w:eastAsia="宋体" w:hAnsi="宋体" w:hint="eastAsia"/>
          <w:sz w:val="24"/>
          <w:lang w:eastAsia="zh-CN"/>
        </w:rPr>
        <w:t>s</w:t>
      </w:r>
      <w:r>
        <w:rPr>
          <w:rFonts w:ascii="宋体" w:eastAsia="宋体" w:hAnsi="宋体" w:hint="eastAsia"/>
          <w:sz w:val="24"/>
          <w:lang w:eastAsia="zh-CN"/>
        </w:rPr>
        <w:t>；</w:t>
      </w:r>
    </w:p>
    <w:p w14:paraId="51B74B8F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lang w:eastAsia="zh-CN"/>
        </w:rPr>
      </w:pPr>
      <w:r>
        <w:rPr>
          <w:rFonts w:ascii="宋体" w:eastAsia="宋体" w:hAnsi="宋体" w:hint="eastAsia"/>
          <w:sz w:val="24"/>
          <w:lang w:eastAsia="zh-CN"/>
        </w:rPr>
        <w:t>压力脉冲上升时间：小于</w:t>
      </w:r>
      <w:r>
        <w:rPr>
          <w:rFonts w:ascii="宋体" w:eastAsia="宋体" w:hAnsi="宋体" w:hint="eastAsia"/>
          <w:sz w:val="24"/>
          <w:lang w:eastAsia="zh-CN"/>
        </w:rPr>
        <w:t>0.5</w:t>
      </w:r>
      <w:r>
        <w:rPr>
          <w:rFonts w:ascii="宋体" w:eastAsia="宋体" w:hAnsi="宋体" w:hint="eastAsia"/>
          <w:sz w:val="24"/>
        </w:rPr>
        <w:t>μ</w:t>
      </w:r>
      <w:r>
        <w:rPr>
          <w:rFonts w:ascii="宋体" w:eastAsia="宋体" w:hAnsi="宋体" w:hint="eastAsia"/>
          <w:sz w:val="24"/>
          <w:lang w:eastAsia="zh-CN"/>
        </w:rPr>
        <w:t>s</w:t>
      </w:r>
      <w:r>
        <w:rPr>
          <w:rFonts w:ascii="宋体" w:eastAsia="宋体" w:hAnsi="宋体" w:hint="eastAsia"/>
          <w:sz w:val="24"/>
          <w:lang w:eastAsia="zh-CN"/>
        </w:rPr>
        <w:t>；</w:t>
      </w:r>
    </w:p>
    <w:p w14:paraId="51B74B92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</w:rPr>
      </w:pPr>
      <w:proofErr w:type="spellStart"/>
      <w:r>
        <w:rPr>
          <w:rFonts w:ascii="宋体" w:eastAsia="宋体" w:hAnsi="宋体" w:hint="eastAsia"/>
          <w:sz w:val="24"/>
        </w:rPr>
        <w:t>彩色触摸屏</w:t>
      </w:r>
      <w:proofErr w:type="spellEnd"/>
      <w:r>
        <w:rPr>
          <w:rFonts w:ascii="宋体" w:eastAsia="宋体" w:hAnsi="宋体" w:hint="eastAsia"/>
          <w:sz w:val="24"/>
        </w:rPr>
        <w:t>；</w:t>
      </w:r>
    </w:p>
    <w:p w14:paraId="51B74B94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lang w:eastAsia="zh-CN"/>
        </w:rPr>
      </w:pPr>
      <w:r>
        <w:rPr>
          <w:rFonts w:ascii="宋体" w:eastAsia="宋体" w:hAnsi="宋体" w:hint="eastAsia"/>
          <w:sz w:val="24"/>
          <w:lang w:eastAsia="zh-CN"/>
        </w:rPr>
        <w:t>内置方案，可根据人体部位导航图选择、快速方案选择或者手动设置；</w:t>
      </w:r>
    </w:p>
    <w:p w14:paraId="51B74B95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lang w:eastAsia="zh-CN"/>
        </w:rPr>
      </w:pPr>
      <w:r>
        <w:rPr>
          <w:rFonts w:ascii="宋体" w:eastAsia="宋体" w:hAnsi="宋体" w:hint="eastAsia"/>
          <w:sz w:val="24"/>
          <w:lang w:eastAsia="zh-CN"/>
        </w:rPr>
        <w:t>治疗包括：治疗参数、治疗指导、禁忌症等治疗所需信息；</w:t>
      </w:r>
    </w:p>
    <w:p w14:paraId="51B74B96" w14:textId="77777777" w:rsidR="00A21630" w:rsidRDefault="0075692A">
      <w:pPr>
        <w:pStyle w:val="a4"/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lang w:eastAsia="zh-CN"/>
        </w:rPr>
      </w:pPr>
      <w:r>
        <w:rPr>
          <w:rFonts w:ascii="宋体" w:eastAsia="宋体" w:hAnsi="宋体" w:hint="eastAsia"/>
          <w:sz w:val="24"/>
          <w:lang w:eastAsia="zh-CN"/>
        </w:rPr>
        <w:t>可自定义治疗程序并保存</w:t>
      </w:r>
    </w:p>
    <w:p w14:paraId="51B74B97" w14:textId="77777777" w:rsidR="00A21630" w:rsidRDefault="0075692A">
      <w:pPr>
        <w:pStyle w:val="a4"/>
        <w:numPr>
          <w:ilvl w:val="0"/>
          <w:numId w:val="1"/>
        </w:numPr>
        <w:rPr>
          <w:rFonts w:ascii="宋体" w:eastAsia="宋体" w:hAnsi="宋体"/>
          <w:sz w:val="24"/>
          <w:lang w:eastAsia="zh-CN"/>
        </w:rPr>
      </w:pPr>
      <w:r>
        <w:rPr>
          <w:rFonts w:ascii="宋体" w:eastAsia="宋体" w:hAnsi="宋体" w:hint="eastAsia"/>
          <w:sz w:val="24"/>
          <w:lang w:eastAsia="zh-CN"/>
        </w:rPr>
        <w:t>计数器可分别监视设备主机及治疗头上的总冲击波次数。</w:t>
      </w:r>
    </w:p>
    <w:p w14:paraId="4B6F8B0F" w14:textId="77777777" w:rsidR="00A21630" w:rsidRDefault="00A21630">
      <w:pPr>
        <w:pStyle w:val="a3"/>
        <w:ind w:leftChars="342" w:left="718" w:firstLineChars="100" w:firstLine="240"/>
        <w:rPr>
          <w:rFonts w:asciiTheme="minorEastAsia" w:hAnsiTheme="minorEastAsia" w:cstheme="minorEastAsia"/>
          <w:sz w:val="24"/>
        </w:rPr>
      </w:pPr>
    </w:p>
    <w:sectPr w:rsidR="00A216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multilevel"/>
    <w:tmpl w:val="00000000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A21630"/>
    <w:rsid w:val="0075692A"/>
    <w:rsid w:val="00A21630"/>
    <w:rsid w:val="23914504"/>
    <w:rsid w:val="355341C6"/>
    <w:rsid w:val="38402AFA"/>
    <w:rsid w:val="40267A05"/>
    <w:rsid w:val="45C21DFF"/>
    <w:rsid w:val="5BE10127"/>
    <w:rsid w:val="66EB43B8"/>
    <w:rsid w:val="7213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E3618F"/>
  <w15:docId w15:val="{9F251EB3-D470-4CEF-A766-03F0D33C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000000" w:themeColor="text1"/>
      <w:szCs w:val="24"/>
    </w:rPr>
  </w:style>
  <w:style w:type="paragraph" w:styleId="a4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2025-02-07T03:00:00Z</cp:lastPrinted>
  <dcterms:created xsi:type="dcterms:W3CDTF">2024-12-17T01:23:00Z</dcterms:created>
  <dcterms:modified xsi:type="dcterms:W3CDTF">2026-08-26T06:05:00Z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141DB1FE16B845D58D14F8F1CBA1B1FA_13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