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9268F" w14:textId="77777777" w:rsidR="00A02E36" w:rsidRDefault="007A680F">
      <w:pPr>
        <w:jc w:val="center"/>
      </w:pPr>
      <w:r>
        <w:rPr>
          <w:rFonts w:hint="eastAsia"/>
          <w:sz w:val="30"/>
          <w:szCs w:val="30"/>
        </w:rPr>
        <w:t>ECMO</w:t>
      </w:r>
      <w:r>
        <w:rPr>
          <w:rFonts w:hint="eastAsia"/>
          <w:sz w:val="30"/>
          <w:szCs w:val="30"/>
        </w:rPr>
        <w:t>重点关注</w:t>
      </w:r>
    </w:p>
    <w:p w14:paraId="0A5E0725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bookmarkStart w:id="0" w:name="OLE_LINK1"/>
      <w:bookmarkStart w:id="1" w:name="OLE_LINK2"/>
      <w:r w:rsidRPr="007A680F">
        <w:rPr>
          <w:rFonts w:ascii="等线" w:eastAsia="等线" w:hAnsi="等线" w:cs="Times New Roman" w:hint="eastAsia"/>
          <w:sz w:val="24"/>
        </w:rPr>
        <w:t>1. 离心泵系统</w:t>
      </w:r>
    </w:p>
    <w:p w14:paraId="0B19E752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血流量范围： 0.5-7 L/min），支持高流量模式（&gt;5 L/min）。  </w:t>
      </w:r>
    </w:p>
    <w:p w14:paraId="15FCC49B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转速调节精度：±100 rpm内误差，确保流量稳定。  </w:t>
      </w:r>
    </w:p>
    <w:p w14:paraId="2D5927C8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溶血指数：&lt;0.1 g/100 L（国际标准），降低血液损伤风险。  </w:t>
      </w:r>
    </w:p>
    <w:p w14:paraId="2F2B6449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2. 氧合器（膜肺）</w:t>
      </w:r>
    </w:p>
    <w:p w14:paraId="45F94D59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/>
          <w:sz w:val="24"/>
        </w:rPr>
        <w:t xml:space="preserve">   </w:t>
      </w:r>
      <w:r w:rsidRPr="007A680F">
        <w:rPr>
          <w:rFonts w:ascii="等线" w:eastAsia="等线" w:hAnsi="等线" w:cs="Times New Roman" w:hint="eastAsia"/>
          <w:sz w:val="24"/>
        </w:rPr>
        <w:t>氧合效率：</w:t>
      </w:r>
      <w:proofErr w:type="spellStart"/>
      <w:r w:rsidRPr="007A680F">
        <w:rPr>
          <w:rFonts w:ascii="等线" w:eastAsia="等线" w:hAnsi="等线" w:cs="Times New Roman"/>
          <w:sz w:val="24"/>
        </w:rPr>
        <w:t>FiO</w:t>
      </w:r>
      <w:proofErr w:type="spellEnd"/>
      <w:r w:rsidRPr="007A680F">
        <w:rPr>
          <w:rFonts w:ascii="Times New Roman" w:eastAsia="等线" w:hAnsi="Times New Roman" w:cs="Times New Roman"/>
          <w:sz w:val="24"/>
        </w:rPr>
        <w:t>₂</w:t>
      </w:r>
      <w:r w:rsidRPr="007A680F">
        <w:rPr>
          <w:rFonts w:ascii="等线" w:eastAsia="等线" w:hAnsi="等线" w:cs="Times New Roman"/>
          <w:sz w:val="24"/>
        </w:rPr>
        <w:t xml:space="preserve"> 21%-100%</w:t>
      </w:r>
      <w:r w:rsidRPr="007A680F">
        <w:rPr>
          <w:rFonts w:ascii="等线" w:eastAsia="等线" w:hAnsi="等线" w:cs="Times New Roman" w:hint="eastAsia"/>
          <w:sz w:val="24"/>
        </w:rPr>
        <w:t>可调，氧转运能力（</w:t>
      </w:r>
      <w:r w:rsidRPr="007A680F">
        <w:rPr>
          <w:rFonts w:ascii="等线" w:eastAsia="等线" w:hAnsi="等线" w:cs="Times New Roman"/>
          <w:sz w:val="24"/>
        </w:rPr>
        <w:t>VO</w:t>
      </w:r>
      <w:r w:rsidRPr="007A680F">
        <w:rPr>
          <w:rFonts w:ascii="Times New Roman" w:eastAsia="等线" w:hAnsi="Times New Roman" w:cs="Times New Roman"/>
          <w:sz w:val="24"/>
        </w:rPr>
        <w:t>₂</w:t>
      </w:r>
      <w:r w:rsidRPr="007A680F">
        <w:rPr>
          <w:rFonts w:ascii="等线" w:eastAsia="等线" w:hAnsi="等线" w:cs="Times New Roman" w:hint="eastAsia"/>
          <w:sz w:val="24"/>
        </w:rPr>
        <w:t>）</w:t>
      </w:r>
      <w:r w:rsidRPr="007A680F">
        <w:rPr>
          <w:rFonts w:ascii="等线" w:eastAsia="等线" w:hAnsi="等线" w:cs="Times New Roman"/>
          <w:sz w:val="24"/>
        </w:rPr>
        <w:t>&gt;200 mL/min</w:t>
      </w:r>
      <w:r w:rsidRPr="007A680F">
        <w:rPr>
          <w:rFonts w:ascii="等线" w:eastAsia="等线" w:hAnsi="等线" w:cs="Times New Roman" w:hint="eastAsia"/>
          <w:sz w:val="24"/>
        </w:rPr>
        <w:t>。</w:t>
      </w:r>
      <w:r w:rsidRPr="007A680F">
        <w:rPr>
          <w:rFonts w:ascii="等线" w:eastAsia="等线" w:hAnsi="等线" w:cs="Times New Roman"/>
          <w:sz w:val="24"/>
        </w:rPr>
        <w:t xml:space="preserve">  </w:t>
      </w:r>
    </w:p>
    <w:p w14:paraId="415900C4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跨膜压差：&lt;300 mmHg时氧合效能稳定，寿命&gt;7天（或按临床需求）。  </w:t>
      </w:r>
    </w:p>
    <w:p w14:paraId="4439A253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预充量：成人型&lt;400 mL。  </w:t>
      </w:r>
    </w:p>
    <w:p w14:paraId="6B37AE34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3. 监测与报警系统</w:t>
      </w:r>
    </w:p>
    <w:p w14:paraId="1B90AFDE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/>
          <w:sz w:val="24"/>
        </w:rPr>
        <w:t xml:space="preserve">   </w:t>
      </w:r>
      <w:r w:rsidRPr="007A680F">
        <w:rPr>
          <w:rFonts w:ascii="等线" w:eastAsia="等线" w:hAnsi="等线" w:cs="Times New Roman" w:hint="eastAsia"/>
          <w:sz w:val="24"/>
        </w:rPr>
        <w:t>实时监测参数：血流量、转速、跨膜压、氧饱和度（</w:t>
      </w:r>
      <w:proofErr w:type="spellStart"/>
      <w:r w:rsidRPr="007A680F">
        <w:rPr>
          <w:rFonts w:ascii="等线" w:eastAsia="等线" w:hAnsi="等线" w:cs="Times New Roman"/>
          <w:sz w:val="24"/>
        </w:rPr>
        <w:t>SvO</w:t>
      </w:r>
      <w:proofErr w:type="spellEnd"/>
      <w:r w:rsidRPr="007A680F">
        <w:rPr>
          <w:rFonts w:ascii="Times New Roman" w:eastAsia="等线" w:hAnsi="Times New Roman" w:cs="Times New Roman"/>
          <w:sz w:val="24"/>
        </w:rPr>
        <w:t>₂</w:t>
      </w:r>
      <w:r w:rsidRPr="007A680F">
        <w:rPr>
          <w:rFonts w:ascii="等线" w:eastAsia="等线" w:hAnsi="等线" w:cs="Times New Roman" w:hint="eastAsia"/>
          <w:sz w:val="24"/>
        </w:rPr>
        <w:t>）、温度、气泡检测。</w:t>
      </w:r>
      <w:r w:rsidRPr="007A680F">
        <w:rPr>
          <w:rFonts w:ascii="等线" w:eastAsia="等线" w:hAnsi="等线" w:cs="Times New Roman"/>
          <w:sz w:val="24"/>
        </w:rPr>
        <w:t xml:space="preserve">  </w:t>
      </w:r>
    </w:p>
    <w:p w14:paraId="73D92F75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报警灵敏度：气泡检测阈值≤0.02 mL，漏血报警响应时间&lt;3秒。  </w:t>
      </w:r>
    </w:p>
    <w:p w14:paraId="22EDAA51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数据记录与导出：支持连续数据存储（≥72小时）及USB/Wi-Fi传输。  </w:t>
      </w:r>
    </w:p>
    <w:p w14:paraId="1D7D8C2A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4. 紧急驱动装置</w:t>
      </w:r>
    </w:p>
    <w:p w14:paraId="4F174433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内置备用电池续航≥60分钟，断电自动切换。  </w:t>
      </w:r>
    </w:p>
    <w:p w14:paraId="3752D74D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手动摇柄紧急驱动功能，确保极端情况持续运转。  </w:t>
      </w:r>
    </w:p>
    <w:p w14:paraId="66174F3D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5. 抗凝与生物相容性</w:t>
      </w:r>
    </w:p>
    <w:p w14:paraId="69F9D692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管路和氧合器表面肝素涂层或生物惰性材料（如聚甲基戊烯PMP）。  </w:t>
      </w:r>
    </w:p>
    <w:p w14:paraId="5D859089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全系统血栓风险评分（如ELSO推荐标准）。  </w:t>
      </w:r>
    </w:p>
    <w:p w14:paraId="671192AB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6. 感染控制</w:t>
      </w:r>
    </w:p>
    <w:p w14:paraId="57240331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管路接口无菌设计（如一次性连接器）。  </w:t>
      </w:r>
    </w:p>
    <w:p w14:paraId="3707590E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氧合器及管路无菌有效期≥2年。  </w:t>
      </w:r>
    </w:p>
    <w:p w14:paraId="12A6240C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lastRenderedPageBreak/>
        <w:t>7. 用户界面设计</w:t>
      </w:r>
    </w:p>
    <w:p w14:paraId="2554B0F9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触控屏操作，支持多语言（含中文），界面逻辑清晰。  </w:t>
      </w:r>
    </w:p>
    <w:p w14:paraId="28C20D23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快速启动模式（从开机到就绪时间≤5分钟）。  </w:t>
      </w:r>
    </w:p>
    <w:p w14:paraId="44A5C651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2. 移动性与集成性</w:t>
      </w:r>
    </w:p>
    <w:p w14:paraId="0DA86C7A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设备重量≤30 kg（含电池），配备滚轮及锁定装置。  </w:t>
      </w:r>
    </w:p>
    <w:p w14:paraId="4C1DF6FB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支持与呼吸机、监护仪、IABP等设备数据互通（如HL7协议）。  </w:t>
      </w:r>
    </w:p>
    <w:p w14:paraId="30EDA765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3. 耗材兼容性</w:t>
      </w:r>
    </w:p>
    <w:p w14:paraId="256B0753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支持多品牌耗材（如氧合器、管路）的适配性声明。  </w:t>
      </w:r>
    </w:p>
    <w:p w14:paraId="1887CE9F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耗材更换时间≤15分钟，无需特殊工具。  </w:t>
      </w:r>
    </w:p>
    <w:p w14:paraId="7CBD1D56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>1. 服务响应</w:t>
      </w:r>
    </w:p>
    <w:p w14:paraId="2D2CC89E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24/7技术支持热线，现场工程师响应时间≤4小时（城市）或≤12小时（偏远地区）。  </w:t>
      </w:r>
    </w:p>
    <w:p w14:paraId="6E3A02DD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设备保修期≥3年，核心部件（如离心泵）保修延长选项。  </w:t>
      </w:r>
    </w:p>
    <w:p w14:paraId="5A26CBAE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2. 培训与维护 </w:t>
      </w:r>
    </w:p>
    <w:p w14:paraId="59CC92CC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免费提供操作培训（理论+模拟机实操），颁发培训证书。  </w:t>
      </w:r>
    </w:p>
    <w:p w14:paraId="1D1CAFD2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年度预防性维护计划（PM）及备件库存保障。  </w:t>
      </w:r>
    </w:p>
    <w:bookmarkEnd w:id="0"/>
    <w:bookmarkEnd w:id="1"/>
    <w:p w14:paraId="4C053D99" w14:textId="77777777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3. 耗材供应 </w:t>
      </w:r>
    </w:p>
    <w:p w14:paraId="0789A173" w14:textId="7472C34A" w:rsidR="00A02E36" w:rsidRPr="007A680F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 承诺耗材（氧合器、管路）长期稳定供应。  </w:t>
      </w:r>
    </w:p>
    <w:p w14:paraId="6FA76ED2" w14:textId="584544F1" w:rsidR="00A02E36" w:rsidRPr="00D330C1" w:rsidRDefault="007A680F" w:rsidP="007A680F">
      <w:pPr>
        <w:jc w:val="left"/>
        <w:rPr>
          <w:rFonts w:ascii="等线" w:eastAsia="等线" w:hAnsi="等线" w:cs="Times New Roman"/>
          <w:sz w:val="24"/>
        </w:rPr>
      </w:pPr>
      <w:r w:rsidRPr="007A680F">
        <w:rPr>
          <w:rFonts w:ascii="等线" w:eastAsia="等线" w:hAnsi="等线" w:cs="Times New Roman" w:hint="eastAsia"/>
          <w:sz w:val="24"/>
        </w:rPr>
        <w:t xml:space="preserve">  </w:t>
      </w:r>
      <w:bookmarkStart w:id="2" w:name="_GoBack"/>
      <w:bookmarkEnd w:id="2"/>
    </w:p>
    <w:sectPr w:rsidR="00A02E36" w:rsidRPr="00D33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DA"/>
    <w:rsid w:val="001D4A5C"/>
    <w:rsid w:val="002E1041"/>
    <w:rsid w:val="007A680F"/>
    <w:rsid w:val="00A02E36"/>
    <w:rsid w:val="00A81336"/>
    <w:rsid w:val="00CF3F08"/>
    <w:rsid w:val="00D330C1"/>
    <w:rsid w:val="00D4046C"/>
    <w:rsid w:val="00E17037"/>
    <w:rsid w:val="00E21ADA"/>
    <w:rsid w:val="0BAB6230"/>
    <w:rsid w:val="650C3B64"/>
    <w:rsid w:val="6E5F4488"/>
    <w:rsid w:val="776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370C"/>
  <w15:docId w15:val="{52A1B372-1B87-402E-84AE-0F5BA25D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dcterms:created xsi:type="dcterms:W3CDTF">2025-03-24T02:21:00Z</dcterms:created>
  <dcterms:modified xsi:type="dcterms:W3CDTF">2025-10-14T04:23:00Z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eyJoZGlkIjoiMjMxN2U0NDkyNDAzM2NjOTU2NDZkYTg3YjA4Zjg0ZDkifQ==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0421FE8248B04B94A9F522C099D0CEF1_12</vt:lpwstr>
  </property>
</Properties>
</file>